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jc w:val="center"/>
        <w:rPr/>
      </w:pPr>
      <w:r w:rsidDel="00000000" w:rsidR="00000000" w:rsidRPr="00000000">
        <w:rPr>
          <w:rtl w:val="0"/>
        </w:rPr>
        <w:t xml:space="preserve">Programa unidad curricular</w:t>
      </w:r>
    </w:p>
    <w:p w:rsidR="00000000" w:rsidDel="00000000" w:rsidP="00000000" w:rsidRDefault="00000000" w:rsidRPr="00000000" w14:paraId="00000003">
      <w:pPr>
        <w:pStyle w:val="Heading1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  <w:t xml:space="preserve">Enfermería general (2026)</w:t>
      </w:r>
      <w:r w:rsidDel="00000000" w:rsidR="00000000" w:rsidRPr="00000000">
        <w:rPr>
          <w:rtl w:val="0"/>
        </w:rPr>
      </w:r>
    </w:p>
    <w:tbl>
      <w:tblPr>
        <w:tblStyle w:val="Table1"/>
        <w:tblW w:w="864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20"/>
        <w:gridCol w:w="4320"/>
        <w:tblGridChange w:id="0">
          <w:tblGrid>
            <w:gridCol w:w="4320"/>
            <w:gridCol w:w="43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tl w:val="0"/>
              </w:rPr>
              <w:t xml:space="preserve">Nombre completo de la unidad curricular</w:t>
            </w:r>
          </w:p>
        </w:tc>
        <w:tc>
          <w:tcPr/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  <w:t xml:space="preserve">Enfermería General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Carrera para la que se ofrece</w:t>
            </w:r>
          </w:p>
        </w:tc>
        <w:tc>
          <w:tcPr/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Carrera Obstetra–Partera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Año</w:t>
            </w:r>
          </w:p>
        </w:tc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2026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Ubicación curricular</w:t>
            </w:r>
          </w:p>
        </w:tc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Primer año – Segundo semestre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Se admite como optativa</w:t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Conocimientos previos y previaturas</w:t>
            </w:r>
          </w:p>
        </w:tc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No presenta previaturas. Conocimiento básico de anatomía, fisiología, bioseguridad y comunicación.</w:t>
            </w:r>
          </w:p>
        </w:tc>
      </w:tr>
    </w:tbl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rPr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2"/>
        <w:tblW w:w="864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20"/>
        <w:gridCol w:w="4320"/>
        <w:tblGridChange w:id="0">
          <w:tblGrid>
            <w:gridCol w:w="4320"/>
            <w:gridCol w:w="43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Docentes</w:t>
            </w:r>
          </w:p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Prof.Asist</w:t>
            </w:r>
          </w:p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 Gimena Chocho y Mariana García</w:t>
            </w:r>
          </w:p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Profesora Adjunta</w:t>
            </w:r>
          </w:p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Lic. Luciana Piccardo </w:t>
              <w:br w:type="textWrapping"/>
            </w:r>
          </w:p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Correo: enfermeriaescueladeparteras@gmail.com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Fundamentación</w:t>
            </w:r>
          </w:p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Objetivos </w:t>
            </w:r>
          </w:p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Metodología de enseñanza</w:t>
            </w:r>
          </w:p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La unidad curricular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Enfermería General</w:t>
            </w:r>
            <w:r w:rsidDel="00000000" w:rsidR="00000000" w:rsidRPr="00000000">
              <w:rPr>
                <w:rtl w:val="0"/>
              </w:rPr>
              <w:t xml:space="preserve"> se inscribe en el primer año de la Carrera Obstetra–Partera y constituye un espacio formativo fundamental para la adquisición de conocimientos, habilidades y actitudes propias del cuidado de Enfermería, en articulación con el ejercicio profesional de la Partería.</w:t>
            </w:r>
          </w:p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Su fundamentación se sustenta en la necesidad de que las y los estudiantes incorporen tempranamente los principios del cuidado integral, seguro, ético y humanizado, comprendiendo el rol de la Enfermería como disciplina científica y práctica profesional dentro de los equipos de salud. La asignatura aporta herramientas básicas para la valoración de la persona, la aplicación de técnicas fundamentales, la prevención de riesgos y la correcta utilización de normas de bioseguridad, promoviendo prácticas basadas en la evidencia y en los derechos de las personas usuarias.</w:t>
            </w:r>
          </w:p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Introducir a las y los estudiantes en los fundamentos teóricos y prácticos del cuidado de Enfermería.</w:t>
            </w:r>
          </w:p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Desarrollar competencias básicas para la valoración, planificación y ejecución de cuidados generales.</w:t>
            </w:r>
          </w:p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Aplicar normas de bioseguridad, higiene, confort y administración segura de procedimientos.</w:t>
            </w:r>
          </w:p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Favorecer la integración del rol de Enfermería en el campo de la Partería y el trabajo en equipo de salud.</w:t>
            </w:r>
          </w:p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Promover una actitud crítica, reflexiva y ética en el ejercicio del cuidado.</w:t>
            </w:r>
          </w:p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La propuesta metodológica se apoya en un enfoque activo, participativo y centrado en el estudiante, combinando instancias teóricas y actividades asincrónicas mediadas por la plataforma EVA.</w:t>
            </w:r>
          </w:p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Se utilizarán estrategias de enseñanza que favorezcan la construcción significativa del conocimiento, tales como clases expositivas dialogadas, análisis de situaciones clínicas, estudio de casos, actividades prácticas demostrativas, discusión grupal y uso de recursos audiovisuales.</w:t>
            </w:r>
          </w:p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La modalidad asincrónica permitirá reforzar contenidos, profundizar bibliografía y desarrollar actividades de autoaprendizaje, promoviendo la autonomía y la responsabilidad académica. Se prioriza la articulación teoría–práctica y el desarrollo progresivo de habilidades básicas de Enfermería.</w:t>
            </w:r>
          </w:p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Style w:val="Heading2"/>
        <w:rPr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Contenidos temáticos / Temario sintético</w:t>
      </w:r>
      <w:r w:rsidDel="00000000" w:rsidR="00000000" w:rsidRPr="00000000">
        <w:rPr>
          <w:rtl w:val="0"/>
        </w:rPr>
      </w:r>
    </w:p>
    <w:tbl>
      <w:tblPr>
        <w:tblStyle w:val="Table3"/>
        <w:tblW w:w="864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09"/>
        <w:gridCol w:w="7931"/>
        <w:tblGridChange w:id="0">
          <w:tblGrid>
            <w:gridCol w:w="709"/>
            <w:gridCol w:w="793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1)</w:t>
            </w:r>
          </w:p>
        </w:tc>
        <w:tc>
          <w:tcPr/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Enfermería y Partería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2)</w:t>
            </w:r>
          </w:p>
        </w:tc>
        <w:tc>
          <w:tcPr/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Bioseguridad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3)</w:t>
            </w:r>
          </w:p>
        </w:tc>
        <w:tc>
          <w:tcPr/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Limpieza, desinfección y esterilización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4)</w:t>
            </w:r>
          </w:p>
        </w:tc>
        <w:tc>
          <w:tcPr/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Valoración de Enfermería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5)</w:t>
            </w:r>
          </w:p>
        </w:tc>
        <w:tc>
          <w:tcPr/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Signos vitales y controles generales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6)</w:t>
            </w:r>
          </w:p>
        </w:tc>
        <w:tc>
          <w:tcPr/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Higiene y confort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7)</w:t>
            </w:r>
          </w:p>
        </w:tc>
        <w:tc>
          <w:tcPr/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Cateterismo vesical femenino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8)</w:t>
            </w:r>
          </w:p>
        </w:tc>
        <w:tc>
          <w:tcPr/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  <w:t xml:space="preserve">Administración de farmacos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  <w:t xml:space="preserve">9)</w:t>
            </w:r>
          </w:p>
        </w:tc>
        <w:tc>
          <w:tcPr/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Punción venosa y extracción de sangre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10)</w:t>
            </w:r>
          </w:p>
        </w:tc>
        <w:tc>
          <w:tcPr/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Registro clínico</w:t>
            </w:r>
          </w:p>
        </w:tc>
      </w:tr>
    </w:tbl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Style w:val="Heading2"/>
        <w:rPr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Bibliografía</w:t>
      </w:r>
      <w:r w:rsidDel="00000000" w:rsidR="00000000" w:rsidRPr="00000000">
        <w:rPr>
          <w:rtl w:val="0"/>
        </w:rPr>
      </w:r>
    </w:p>
    <w:tbl>
      <w:tblPr>
        <w:tblStyle w:val="Table4"/>
        <w:tblW w:w="864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20"/>
        <w:gridCol w:w="4320"/>
        <w:tblGridChange w:id="0">
          <w:tblGrid>
            <w:gridCol w:w="4320"/>
            <w:gridCol w:w="43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  <w:t xml:space="preserve">Bibliografía básica</w:t>
            </w:r>
          </w:p>
        </w:tc>
        <w:tc>
          <w:tcPr/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Costabel; Delgado; Manuales HC-UDELAR; Bioseguridad MSP; Lynn &amp; Taylor.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  <w:t xml:space="preserve">Bibliografía complementaria</w:t>
            </w:r>
          </w:p>
        </w:tc>
        <w:tc>
          <w:tcPr/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OPS; OMS; Hospital Reina Sofía; Biblioteca Timbó.</w:t>
            </w:r>
          </w:p>
        </w:tc>
      </w:tr>
    </w:tbl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Style w:val="Heading2"/>
        <w:rPr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Carga horaria</w:t>
      </w:r>
      <w:r w:rsidDel="00000000" w:rsidR="00000000" w:rsidRPr="00000000">
        <w:rPr>
          <w:rtl w:val="0"/>
        </w:rPr>
      </w:r>
    </w:p>
    <w:tbl>
      <w:tblPr>
        <w:tblStyle w:val="Table5"/>
        <w:tblW w:w="864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20"/>
        <w:gridCol w:w="4320"/>
        <w:tblGridChange w:id="0">
          <w:tblGrid>
            <w:gridCol w:w="4320"/>
            <w:gridCol w:w="43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Horas teóricas</w:t>
            </w:r>
          </w:p>
        </w:tc>
        <w:tc>
          <w:tcPr/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  <w:t xml:space="preserve">Horas asincrónicas</w:t>
            </w:r>
          </w:p>
        </w:tc>
        <w:tc>
          <w:tcPr/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Total</w:t>
            </w:r>
          </w:p>
        </w:tc>
        <w:tc>
          <w:tcPr/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40 horas</w:t>
            </w:r>
          </w:p>
        </w:tc>
      </w:tr>
    </w:tbl>
    <w:p w:rsidR="00000000" w:rsidDel="00000000" w:rsidP="00000000" w:rsidRDefault="00000000" w:rsidRPr="00000000" w14:paraId="0000007F">
      <w:pPr>
        <w:pStyle w:val="Heading2"/>
        <w:rPr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Evaluación y Aprobación</w:t>
      </w:r>
      <w:r w:rsidDel="00000000" w:rsidR="00000000" w:rsidRPr="00000000">
        <w:rPr>
          <w:rtl w:val="0"/>
        </w:rPr>
      </w:r>
    </w:p>
    <w:tbl>
      <w:tblPr>
        <w:tblStyle w:val="Table6"/>
        <w:tblW w:w="864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20"/>
        <w:gridCol w:w="4320"/>
        <w:tblGridChange w:id="0">
          <w:tblGrid>
            <w:gridCol w:w="4320"/>
            <w:gridCol w:w="43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Formas de evaluación</w:t>
            </w:r>
          </w:p>
        </w:tc>
        <w:tc>
          <w:tcPr/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  <w:t xml:space="preserve">Dos parciales (50% cada uno). Evaluación continua formativa.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Aprobación</w:t>
            </w:r>
          </w:p>
        </w:tc>
        <w:tc>
          <w:tcPr/>
          <w:p w:rsidR="00000000" w:rsidDel="00000000" w:rsidP="00000000" w:rsidRDefault="00000000" w:rsidRPr="00000000" w14:paraId="00000083">
            <w:pPr>
              <w:rPr/>
            </w:pPr>
            <w:sdt>
              <w:sdtPr>
                <w:id w:val="6673738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Aprobación ≥ 60%.aceptable</w:t>
                </w:r>
              </w:sdtContent>
            </w:sdt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  <w:t xml:space="preserve">Exoneración</w:t>
            </w:r>
          </w:p>
        </w:tc>
        <w:tc>
          <w:tcPr/>
          <w:p w:rsidR="00000000" w:rsidDel="00000000" w:rsidP="00000000" w:rsidRDefault="00000000" w:rsidRPr="00000000" w14:paraId="00000085">
            <w:pPr>
              <w:rPr/>
            </w:pPr>
            <w:sdt>
              <w:sdtPr>
                <w:id w:val="1273348996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Promedio  ≥ 60% aceptable</w:t>
                </w:r>
              </w:sdtContent>
            </w:sdt>
          </w:p>
        </w:tc>
      </w:tr>
    </w:tbl>
    <w:p w:rsidR="00000000" w:rsidDel="00000000" w:rsidP="00000000" w:rsidRDefault="00000000" w:rsidRPr="00000000" w14:paraId="00000086">
      <w:pPr>
        <w:pStyle w:val="Heading2"/>
        <w:rPr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Devolución</w:t>
      </w:r>
      <w:r w:rsidDel="00000000" w:rsidR="00000000" w:rsidRPr="00000000">
        <w:rPr>
          <w:rtl w:val="0"/>
        </w:rPr>
      </w:r>
    </w:p>
    <w:tbl>
      <w:tblPr>
        <w:tblStyle w:val="Table7"/>
        <w:tblW w:w="8640.0" w:type="dxa"/>
        <w:jc w:val="center"/>
        <w:tblLayout w:type="fixed"/>
        <w:tblLook w:val="0400"/>
      </w:tblPr>
      <w:tblGrid>
        <w:gridCol w:w="8640"/>
        <w:tblGridChange w:id="0">
          <w:tblGrid>
            <w:gridCol w:w="864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  <w:t xml:space="preserve">Devolución presencial y en EVA </w:t>
            </w:r>
          </w:p>
        </w:tc>
      </w:tr>
    </w:tbl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Fecha de inicio 5.8.2026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1er parcial 26.8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2do parcial 23.9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Fecha de finalización 23.9.2026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 er periodo de examen </w:t>
      </w:r>
      <w:r w:rsidDel="00000000" w:rsidR="00000000" w:rsidRPr="00000000">
        <w:rPr>
          <w:rtl w:val="0"/>
        </w:rPr>
        <w:t xml:space="preserve">17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.12.2026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2do periodo de examen 4.2.2027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3er periodo 2</w:t>
      </w:r>
      <w:r w:rsidDel="00000000" w:rsidR="00000000" w:rsidRPr="00000000">
        <w:rPr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.2.2027</w:t>
      </w:r>
    </w:p>
    <w:sectPr>
      <w:headerReference r:id="rId7" w:type="default"/>
      <w:footerReference r:id="rId8" w:type="default"/>
      <w:pgSz w:h="16838" w:w="11906" w:orient="portrait"/>
      <w:pgMar w:bottom="1440" w:top="1757" w:left="1440" w:right="1440" w:header="1700" w:footer="113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-828717</wp:posOffset>
          </wp:positionH>
          <wp:positionV relativeFrom="paragraph">
            <wp:posOffset>171360</wp:posOffset>
          </wp:positionV>
          <wp:extent cx="7501320" cy="594360"/>
          <wp:effectExtent b="0" l="0" r="0" t="0"/>
          <wp:wrapNone/>
          <wp:docPr id="113357488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10398" l="0" r="0" t="10398"/>
                  <a:stretch>
                    <a:fillRect/>
                  </a:stretch>
                </pic:blipFill>
                <pic:spPr>
                  <a:xfrm>
                    <a:off x="0" y="0"/>
                    <a:ext cx="7501320" cy="59436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-952814</wp:posOffset>
          </wp:positionH>
          <wp:positionV relativeFrom="paragraph">
            <wp:posOffset>-965958</wp:posOffset>
          </wp:positionV>
          <wp:extent cx="7629840" cy="315720"/>
          <wp:effectExtent b="0" l="0" r="0" t="0"/>
          <wp:wrapNone/>
          <wp:docPr id="1133574887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59090"/>
                  <a:stretch>
                    <a:fillRect/>
                  </a:stretch>
                </pic:blipFill>
                <pic:spPr>
                  <a:xfrm rot="10800000">
                    <a:off x="0" y="0"/>
                    <a:ext cx="7629840" cy="31572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-535319</wp:posOffset>
          </wp:positionH>
          <wp:positionV relativeFrom="paragraph">
            <wp:posOffset>-647639</wp:posOffset>
          </wp:positionV>
          <wp:extent cx="7034040" cy="705600"/>
          <wp:effectExtent b="0" l="0" r="0" t="0"/>
          <wp:wrapNone/>
          <wp:docPr id="113357488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81" r="81" t="0"/>
                  <a:stretch>
                    <a:fillRect/>
                  </a:stretch>
                </pic:blipFill>
                <pic:spPr>
                  <a:xfrm>
                    <a:off x="0" y="0"/>
                    <a:ext cx="7034040" cy="7056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286534</wp:posOffset>
          </wp:positionH>
          <wp:positionV relativeFrom="paragraph">
            <wp:posOffset>0</wp:posOffset>
          </wp:positionV>
          <wp:extent cx="5158440" cy="5487479"/>
          <wp:effectExtent b="0" l="0" r="0" t="0"/>
          <wp:wrapNone/>
          <wp:docPr id="1133574886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158440" cy="5487479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-UY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Fuentedeprrafopredeter" w:default="1">
    <w:name w:val="Default Paragraph Font"/>
    <w:uiPriority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Standard" w:customStyle="1">
    <w:name w:val="Standard"/>
    <w:pPr>
      <w:spacing w:line="276" w:lineRule="auto"/>
    </w:pPr>
  </w:style>
  <w:style w:type="paragraph" w:styleId="Heading" w:customStyle="1">
    <w:name w:val="Heading"/>
    <w:basedOn w:val="Standard"/>
    <w:next w:val="Textbody"/>
    <w:pPr>
      <w:keepNext w:val="1"/>
      <w:spacing w:after="120" w:before="240"/>
    </w:pPr>
    <w:rPr>
      <w:rFonts w:ascii="Liberation Sans" w:cs="Linux Libertine G" w:eastAsia="Linux Libertine G" w:hAnsi="Liberation Sans"/>
      <w:sz w:val="28"/>
      <w:szCs w:val="28"/>
    </w:rPr>
  </w:style>
  <w:style w:type="paragraph" w:styleId="Textbody" w:customStyle="1">
    <w:name w:val="Text body"/>
    <w:basedOn w:val="Standard"/>
    <w:pPr>
      <w:spacing w:after="140"/>
    </w:pPr>
  </w:style>
  <w:style w:type="paragraph" w:styleId="Lista">
    <w:name w:val="List"/>
    <w:basedOn w:val="Textbody"/>
    <w:rPr>
      <w:sz w:val="24"/>
    </w:rPr>
  </w:style>
  <w:style w:type="paragraph" w:styleId="Descripcin">
    <w:name w:val="caption"/>
    <w:basedOn w:val="Standard"/>
    <w:pPr>
      <w:suppressLineNumbers w:val="1"/>
      <w:spacing w:after="120" w:before="120"/>
    </w:pPr>
    <w:rPr>
      <w:i w:val="1"/>
      <w:iCs w:val="1"/>
      <w:sz w:val="24"/>
      <w:szCs w:val="24"/>
    </w:rPr>
  </w:style>
  <w:style w:type="paragraph" w:styleId="Index" w:customStyle="1">
    <w:name w:val="Index"/>
    <w:basedOn w:val="Standard"/>
    <w:pPr>
      <w:suppressLineNumbers w:val="1"/>
    </w:pPr>
    <w:rPr>
      <w:sz w:val="24"/>
    </w:rPr>
  </w:style>
  <w:style w:type="paragraph" w:styleId="HeaderandFooter" w:customStyle="1">
    <w:name w:val="Header and Footer"/>
    <w:basedOn w:val="Standard"/>
    <w:pPr>
      <w:suppressLineNumbers w:val="1"/>
      <w:tabs>
        <w:tab w:val="center" w:pos="4819"/>
        <w:tab w:val="right" w:pos="9638"/>
      </w:tabs>
    </w:pPr>
  </w:style>
  <w:style w:type="paragraph" w:styleId="Encabezado">
    <w:name w:val="header"/>
    <w:basedOn w:val="Standard"/>
  </w:style>
  <w:style w:type="paragraph" w:styleId="Piedepgina">
    <w:name w:val="footer"/>
    <w:basedOn w:val="Standard"/>
  </w:style>
  <w:style w:type="table" w:styleId="Tablaconcuadrcula">
    <w:name w:val="Table Grid"/>
    <w:basedOn w:val="Tablanormal"/>
    <w:uiPriority w:val="59"/>
    <w:rsid w:val="00465222"/>
    <w:pPr>
      <w:widowControl w:val="1"/>
      <w:suppressAutoHyphens w:val="0"/>
      <w:autoSpaceDN w:val="1"/>
      <w:textAlignment w:val="auto"/>
    </w:pPr>
    <w:rPr>
      <w:rFonts w:asciiTheme="minorHAnsi" w:cstheme="minorBidi" w:eastAsiaTheme="minorEastAsia" w:hAnsiTheme="minorHAnsi"/>
      <w:lang w:bidi="ar-SA" w:eastAsia="en-US" w:val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Relationship Id="rId3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WU5qIDCxa3ATtxrVhW+hxD5rdQ==">CgMxLjAaHQoBMBIYChYIB0ISEhBBcmlhbCBVbmljb2RlIE1TGh0KATESGAoWCAdCEhIQQXJpYWwgVW5pY29kZSBNUzgAciExZDZ3VFk5WlpvYm9xM2dHU2xfdEM1UVhTY1VrWjFKcVQ=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2025-12-17T16:32:00Z</dcterms:created>
</cp:coreProperties>
</file>